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caps w:val="0"/>
          <w:spacing w:val="0"/>
          <w:kern w:val="2"/>
          <w:sz w:val="44"/>
          <w:szCs w:val="44"/>
          <w:lang w:val="en-US" w:eastAsia="zh-CN" w:bidi="ar-SA"/>
        </w:rPr>
      </w:pPr>
      <w:r>
        <w:rPr>
          <w:rFonts w:hint="eastAsia" w:ascii="方正小标宋_GBK" w:hAnsi="方正小标宋_GBK" w:eastAsia="方正小标宋_GBK" w:cs="方正小标宋_GBK"/>
          <w:b w:val="0"/>
          <w:bCs w:val="0"/>
          <w:caps w:val="0"/>
          <w:spacing w:val="0"/>
          <w:kern w:val="2"/>
          <w:sz w:val="44"/>
          <w:szCs w:val="44"/>
          <w:lang w:val="en-US" w:eastAsia="zh-CN" w:bidi="ar-SA"/>
        </w:rPr>
        <w:t>关于阿合奇县苏木塔什乡孔吾拉齐村人工饲草料基地建设项目水土保持方案报告书的</w:t>
      </w:r>
    </w:p>
    <w:p>
      <w:pPr>
        <w:pStyle w:val="4"/>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0" w:firstLineChars="0"/>
        <w:jc w:val="center"/>
        <w:textAlignment w:val="auto"/>
        <w:rPr>
          <w:rFonts w:hint="eastAsia" w:ascii="方正小标宋_GBK" w:hAnsi="方正小标宋_GBK" w:eastAsia="方正小标宋_GBK" w:cs="方正小标宋_GBK"/>
          <w:caps w:val="0"/>
          <w:kern w:val="2"/>
          <w:sz w:val="44"/>
          <w:szCs w:val="44"/>
          <w:lang w:eastAsia="zh-CN"/>
        </w:rPr>
      </w:pPr>
      <w:r>
        <w:rPr>
          <w:rFonts w:hint="eastAsia" w:ascii="方正小标宋_GBK" w:hAnsi="方正小标宋_GBK" w:eastAsia="方正小标宋_GBK" w:cs="方正小标宋_GBK"/>
          <w:b w:val="0"/>
          <w:bCs w:val="0"/>
          <w:caps w:val="0"/>
          <w:spacing w:val="0"/>
          <w:kern w:val="2"/>
          <w:sz w:val="44"/>
          <w:szCs w:val="44"/>
          <w:lang w:val="en-US" w:eastAsia="zh-CN" w:bidi="ar-SA"/>
        </w:rPr>
        <w:t>审查意见</w:t>
      </w:r>
    </w:p>
    <w:p>
      <w:pPr>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jc w:val="left"/>
        <w:rPr>
          <w:rFonts w:hint="default" w:ascii="Times New Roman" w:hAnsi="Times New Roman" w:eastAsia="仿宋_GB2312" w:cs="Times New Roman"/>
          <w:bCs/>
          <w:caps w:val="0"/>
          <w:kern w:val="2"/>
          <w:sz w:val="32"/>
          <w:szCs w:val="32"/>
        </w:rPr>
      </w:pP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r>
        <w:rPr>
          <w:rFonts w:hint="eastAsia" w:ascii="方正仿宋_GBK" w:hAnsi="方正仿宋_GBK" w:eastAsia="方正仿宋_GBK" w:cs="方正仿宋_GBK"/>
          <w:bCs/>
          <w:caps w:val="0"/>
          <w:kern w:val="2"/>
          <w:sz w:val="32"/>
          <w:szCs w:val="32"/>
          <w:lang w:val="en-US" w:eastAsia="zh-CN"/>
        </w:rPr>
        <w:t>2023年7月22日，</w:t>
      </w:r>
      <w:r>
        <w:rPr>
          <w:rFonts w:hint="eastAsia" w:ascii="方正仿宋_GBK" w:hAnsi="方正仿宋_GBK" w:eastAsia="方正仿宋_GBK" w:cs="方正仿宋_GBK"/>
          <w:caps w:val="0"/>
          <w:spacing w:val="0"/>
          <w:kern w:val="2"/>
          <w:sz w:val="32"/>
          <w:szCs w:val="44"/>
          <w:lang w:val="en-US" w:eastAsia="zh-CN"/>
        </w:rPr>
        <w:t>阿合奇县水利局对修改完善后的</w:t>
      </w:r>
      <w:r>
        <w:rPr>
          <w:rFonts w:hint="eastAsia" w:ascii="方正仿宋_GBK" w:hAnsi="方正仿宋_GBK" w:eastAsia="方正仿宋_GBK" w:cs="方正仿宋_GBK"/>
          <w:bCs/>
          <w:caps w:val="0"/>
          <w:kern w:val="2"/>
          <w:sz w:val="32"/>
          <w:szCs w:val="32"/>
        </w:rPr>
        <w:t>《</w:t>
      </w:r>
      <w:r>
        <w:rPr>
          <w:rFonts w:hint="eastAsia" w:ascii="方正仿宋_GBK" w:hAnsi="方正仿宋_GBK" w:eastAsia="方正仿宋_GBK" w:cs="方正仿宋_GBK"/>
          <w:bCs/>
          <w:caps w:val="0"/>
          <w:kern w:val="2"/>
          <w:sz w:val="32"/>
          <w:szCs w:val="32"/>
          <w:lang w:eastAsia="zh-CN"/>
        </w:rPr>
        <w:t>阿合奇县苏木塔什乡孔吾拉齐村人工饲草料基地建设项目水土保持方案报告书</w:t>
      </w:r>
      <w:r>
        <w:rPr>
          <w:rFonts w:hint="eastAsia" w:ascii="方正仿宋_GBK" w:hAnsi="方正仿宋_GBK" w:eastAsia="方正仿宋_GBK" w:cs="方正仿宋_GBK"/>
          <w:bCs/>
          <w:caps w:val="0"/>
          <w:kern w:val="2"/>
          <w:sz w:val="32"/>
          <w:szCs w:val="32"/>
        </w:rPr>
        <w:t>》</w:t>
      </w:r>
      <w:r>
        <w:rPr>
          <w:rFonts w:hint="eastAsia" w:ascii="方正仿宋_GBK" w:hAnsi="方正仿宋_GBK" w:eastAsia="方正仿宋_GBK" w:cs="方正仿宋_GBK"/>
          <w:caps w:val="0"/>
          <w:spacing w:val="0"/>
          <w:kern w:val="2"/>
          <w:sz w:val="32"/>
          <w:szCs w:val="44"/>
          <w:lang w:val="en-US" w:eastAsia="zh-CN"/>
        </w:rPr>
        <w:t>进行复核和研究，该水土保持方案报告书基本符合水土保持法律法规、技术标准及有关文件的规定，基本同意该水土保持方案报告书内容，现提出技术评审意见如下：</w:t>
      </w:r>
    </w:p>
    <w:p>
      <w:pPr>
        <w:pStyle w:val="7"/>
        <w:keepNext w:val="0"/>
        <w:keepLines w:val="0"/>
        <w:pageBreakBefore w:val="0"/>
        <w:kinsoku/>
        <w:wordWrap/>
        <w:overflowPunct/>
        <w:topLinePunct w:val="0"/>
        <w:autoSpaceDE/>
        <w:autoSpaceDN/>
        <w:bidi w:val="0"/>
        <w:spacing w:line="578" w:lineRule="exact"/>
        <w:ind w:left="0" w:firstLine="640" w:firstLineChars="200"/>
        <w:jc w:val="both"/>
        <w:textAlignment w:val="auto"/>
        <w:rPr>
          <w:rFonts w:hint="eastAsia" w:eastAsia="方正黑体_GBK" w:cs="Times New Roman"/>
          <w:caps w:val="0"/>
          <w:spacing w:val="0"/>
          <w:kern w:val="2"/>
          <w:sz w:val="32"/>
          <w:szCs w:val="32"/>
          <w:lang w:val="en-GB" w:eastAsia="zh-CN" w:bidi="en-US"/>
        </w:rPr>
      </w:pPr>
      <w:r>
        <w:rPr>
          <w:rFonts w:hint="eastAsia" w:eastAsia="方正黑体_GBK" w:cs="Times New Roman"/>
          <w:caps w:val="0"/>
          <w:spacing w:val="0"/>
          <w:kern w:val="2"/>
          <w:sz w:val="32"/>
          <w:szCs w:val="32"/>
          <w:lang w:val="en-GB" w:eastAsia="zh-CN" w:bidi="en-US"/>
        </w:rPr>
        <w:t>—、项目水土保持评价</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r>
        <w:rPr>
          <w:rFonts w:hint="eastAsia" w:ascii="方正仿宋_GBK" w:hAnsi="方正仿宋_GBK" w:eastAsia="方正仿宋_GBK" w:cs="方正仿宋_GBK"/>
          <w:caps w:val="0"/>
          <w:spacing w:val="0"/>
          <w:kern w:val="2"/>
          <w:sz w:val="32"/>
          <w:szCs w:val="44"/>
          <w:lang w:val="en-US" w:eastAsia="zh-CN"/>
        </w:rPr>
        <w:t>（一）基本同意主体工程选址选线水土保持制约性因素的分析与评价。本项目涉及塔里木河国家级水土流失重点预防区，基本同意水土保持方案报告书中提出的优化施工工艺、减少地表扰动和植被损坏范围的措施。</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bookmarkStart w:id="0" w:name="bookmark19"/>
      <w:r>
        <w:rPr>
          <w:rFonts w:hint="eastAsia" w:ascii="方正仿宋_GBK" w:hAnsi="方正仿宋_GBK" w:eastAsia="方正仿宋_GBK" w:cs="方正仿宋_GBK"/>
          <w:caps w:val="0"/>
          <w:spacing w:val="0"/>
          <w:kern w:val="2"/>
          <w:sz w:val="32"/>
          <w:szCs w:val="44"/>
          <w:lang w:val="en-US" w:eastAsia="zh-CN"/>
        </w:rPr>
        <w:t>（</w:t>
      </w:r>
      <w:bookmarkEnd w:id="0"/>
      <w:r>
        <w:rPr>
          <w:rFonts w:hint="eastAsia" w:ascii="方正仿宋_GBK" w:hAnsi="方正仿宋_GBK" w:eastAsia="方正仿宋_GBK" w:cs="方正仿宋_GBK"/>
          <w:caps w:val="0"/>
          <w:spacing w:val="0"/>
          <w:kern w:val="2"/>
          <w:sz w:val="32"/>
          <w:szCs w:val="44"/>
          <w:lang w:val="en-US" w:eastAsia="zh-CN"/>
        </w:rPr>
        <w:t>二）基本同意对项目占地、土石方平衡、施工工艺和方法的水土保持分析与评价。</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bookmarkStart w:id="1" w:name="bookmark20"/>
      <w:r>
        <w:rPr>
          <w:rFonts w:hint="eastAsia" w:ascii="方正仿宋_GBK" w:hAnsi="方正仿宋_GBK" w:eastAsia="方正仿宋_GBK" w:cs="方正仿宋_GBK"/>
          <w:caps w:val="0"/>
          <w:spacing w:val="0"/>
          <w:kern w:val="2"/>
          <w:sz w:val="32"/>
          <w:szCs w:val="44"/>
          <w:lang w:val="en-US" w:eastAsia="zh-CN"/>
        </w:rPr>
        <w:t>（</w:t>
      </w:r>
      <w:bookmarkEnd w:id="1"/>
      <w:r>
        <w:rPr>
          <w:rFonts w:hint="eastAsia" w:ascii="方正仿宋_GBK" w:hAnsi="方正仿宋_GBK" w:eastAsia="方正仿宋_GBK" w:cs="方正仿宋_GBK"/>
          <w:caps w:val="0"/>
          <w:spacing w:val="0"/>
          <w:kern w:val="2"/>
          <w:sz w:val="32"/>
          <w:szCs w:val="44"/>
          <w:lang w:val="en-US" w:eastAsia="zh-CN"/>
        </w:rPr>
        <w:t>三）基本同意对主体设计中具有水土保持功能工程的评价和界定。</w:t>
      </w:r>
    </w:p>
    <w:p>
      <w:pPr>
        <w:pStyle w:val="7"/>
        <w:keepNext w:val="0"/>
        <w:keepLines w:val="0"/>
        <w:pageBreakBefore w:val="0"/>
        <w:kinsoku/>
        <w:wordWrap/>
        <w:overflowPunct/>
        <w:topLinePunct w:val="0"/>
        <w:autoSpaceDE/>
        <w:autoSpaceDN/>
        <w:bidi w:val="0"/>
        <w:spacing w:line="578" w:lineRule="exact"/>
        <w:ind w:left="0" w:firstLine="640" w:firstLineChars="200"/>
        <w:jc w:val="both"/>
        <w:textAlignment w:val="auto"/>
        <w:rPr>
          <w:rFonts w:eastAsia="方正黑体_GBK" w:cs="Times New Roman"/>
          <w:caps w:val="0"/>
          <w:spacing w:val="0"/>
          <w:kern w:val="2"/>
          <w:sz w:val="32"/>
          <w:szCs w:val="32"/>
          <w:lang w:val="en-GB" w:eastAsia="zh-CN" w:bidi="en-US"/>
        </w:rPr>
      </w:pPr>
      <w:r>
        <w:rPr>
          <w:rFonts w:hint="eastAsia" w:ascii="方正黑体_GBK" w:hAnsi="方正黑体_GBK" w:eastAsia="方正黑体_GBK" w:cs="方正黑体_GBK"/>
          <w:caps w:val="0"/>
          <w:spacing w:val="0"/>
          <w:kern w:val="2"/>
          <w:sz w:val="32"/>
          <w:szCs w:val="32"/>
          <w:lang w:val="en-GB" w:eastAsia="zh-CN" w:bidi="en-US"/>
        </w:rPr>
        <w:t>二、水土流失防治责任范围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right="0" w:rightChars="0" w:firstLine="640" w:firstLineChars="200"/>
        <w:jc w:val="both"/>
        <w:textAlignment w:val="baseline"/>
        <w:rPr>
          <w:rFonts w:hint="eastAsia" w:ascii="方正仿宋_GBK" w:hAnsi="方正仿宋_GBK" w:eastAsia="方正仿宋_GBK" w:cs="方正仿宋_GBK"/>
          <w:caps w:val="0"/>
          <w:color w:val="000000"/>
          <w:spacing w:val="0"/>
          <w:kern w:val="2"/>
          <w:sz w:val="32"/>
          <w:szCs w:val="32"/>
          <w:lang w:val="en-US" w:eastAsia="zh-CN"/>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基本同意该工程建设期水土流失防治责任范围。防</w:t>
      </w:r>
      <w:r>
        <w:rPr>
          <w:rFonts w:hint="eastAsia" w:ascii="方正仿宋_GBK" w:hAnsi="方正仿宋_GBK" w:eastAsia="方正仿宋_GBK" w:cs="方正仿宋_GBK"/>
          <w:caps w:val="0"/>
          <w:color w:val="000000"/>
          <w:spacing w:val="0"/>
          <w:kern w:val="2"/>
          <w:sz w:val="32"/>
          <w:szCs w:val="32"/>
          <w:lang w:val="en-US" w:eastAsia="zh-CN"/>
        </w:rPr>
        <w:t>治责任范围为1022.86hm²，其中永久占地22.85hm²，临时占地 1000.01hm²，重复占地0.08hm²。</w:t>
      </w:r>
    </w:p>
    <w:p>
      <w:pPr>
        <w:pStyle w:val="7"/>
        <w:keepNext w:val="0"/>
        <w:keepLines w:val="0"/>
        <w:pageBreakBefore w:val="0"/>
        <w:tabs>
          <w:tab w:val="left" w:pos="1311"/>
        </w:tabs>
        <w:kinsoku/>
        <w:wordWrap/>
        <w:overflowPunct/>
        <w:topLinePunct w:val="0"/>
        <w:autoSpaceDE/>
        <w:autoSpaceDN/>
        <w:bidi w:val="0"/>
        <w:spacing w:line="578" w:lineRule="exact"/>
        <w:ind w:left="0" w:firstLine="640" w:firstLineChars="200"/>
        <w:jc w:val="both"/>
        <w:textAlignment w:val="auto"/>
        <w:rPr>
          <w:rFonts w:eastAsia="方正黑体_GBK" w:cs="Times New Roman"/>
          <w:caps w:val="0"/>
          <w:spacing w:val="0"/>
          <w:kern w:val="2"/>
          <w:sz w:val="32"/>
          <w:szCs w:val="32"/>
          <w:lang w:val="en-GB" w:eastAsia="zh-CN" w:bidi="en-US"/>
        </w:rPr>
      </w:pPr>
      <w:bookmarkStart w:id="2" w:name="bookmark21"/>
      <w:r>
        <w:rPr>
          <w:rFonts w:eastAsia="方正黑体_GBK" w:cs="Times New Roman"/>
          <w:caps w:val="0"/>
          <w:spacing w:val="0"/>
          <w:kern w:val="2"/>
          <w:sz w:val="32"/>
          <w:szCs w:val="32"/>
          <w:lang w:val="en-GB" w:eastAsia="zh-CN" w:bidi="en-US"/>
        </w:rPr>
        <w:t>三</w:t>
      </w:r>
      <w:bookmarkEnd w:id="2"/>
      <w:r>
        <w:rPr>
          <w:rFonts w:eastAsia="方正黑体_GBK" w:cs="Times New Roman"/>
          <w:caps w:val="0"/>
          <w:spacing w:val="0"/>
          <w:kern w:val="2"/>
          <w:sz w:val="32"/>
          <w:szCs w:val="32"/>
          <w:lang w:val="en-GB" w:eastAsia="zh-CN" w:bidi="en-US"/>
        </w:rPr>
        <w:t>、水土流失防治目标</w:t>
      </w:r>
    </w:p>
    <w:p>
      <w:pPr>
        <w:pStyle w:val="7"/>
        <w:keepNext w:val="0"/>
        <w:keepLines w:val="0"/>
        <w:pageBreakBefore w:val="0"/>
        <w:tabs>
          <w:tab w:val="left" w:pos="1616"/>
        </w:tabs>
        <w:kinsoku/>
        <w:wordWrap/>
        <w:overflowPunct/>
        <w:topLinePunct w:val="0"/>
        <w:autoSpaceDE/>
        <w:autoSpaceDN/>
        <w:bidi w:val="0"/>
        <w:adjustRightInd w:val="0"/>
        <w:snapToGrid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r>
        <w:rPr>
          <w:rFonts w:hint="eastAsia" w:ascii="方正仿宋_GBK" w:hAnsi="方正仿宋_GBK" w:eastAsia="方正仿宋_GBK" w:cs="方正仿宋_GBK"/>
          <w:caps w:val="0"/>
          <w:spacing w:val="0"/>
          <w:kern w:val="2"/>
          <w:sz w:val="32"/>
          <w:szCs w:val="44"/>
          <w:lang w:val="en-US" w:eastAsia="zh-CN"/>
        </w:rPr>
        <w:t>基本同意该项目水土流失防治执行北方风沙区建设类项目一级标准。基本同意该项目设计水平年水土流失防治目标为：水土流失治理度达到85%，水土流失控制比达到1.0，渣土防护率达到87%，表土保护率达到95%、林草覆盖率、林草植被恢复率不作要求。</w:t>
      </w:r>
    </w:p>
    <w:p>
      <w:pPr>
        <w:pStyle w:val="7"/>
        <w:keepNext w:val="0"/>
        <w:keepLines w:val="0"/>
        <w:pageBreakBefore w:val="0"/>
        <w:tabs>
          <w:tab w:val="left" w:pos="1311"/>
        </w:tabs>
        <w:kinsoku/>
        <w:wordWrap/>
        <w:overflowPunct/>
        <w:topLinePunct w:val="0"/>
        <w:autoSpaceDE/>
        <w:autoSpaceDN/>
        <w:bidi w:val="0"/>
        <w:spacing w:line="578" w:lineRule="exact"/>
        <w:ind w:left="0" w:firstLine="640" w:firstLineChars="200"/>
        <w:jc w:val="both"/>
        <w:textAlignment w:val="auto"/>
        <w:rPr>
          <w:rFonts w:eastAsia="方正黑体_GBK" w:cs="Times New Roman"/>
          <w:caps w:val="0"/>
          <w:color w:val="auto"/>
          <w:spacing w:val="0"/>
          <w:kern w:val="2"/>
          <w:sz w:val="32"/>
          <w:szCs w:val="32"/>
          <w:lang w:val="en-GB" w:eastAsia="zh-CN" w:bidi="en-US"/>
        </w:rPr>
      </w:pPr>
      <w:bookmarkStart w:id="3" w:name="bookmark22"/>
      <w:r>
        <w:rPr>
          <w:rFonts w:eastAsia="方正黑体_GBK" w:cs="Times New Roman"/>
          <w:caps w:val="0"/>
          <w:color w:val="auto"/>
          <w:spacing w:val="0"/>
          <w:kern w:val="2"/>
          <w:sz w:val="32"/>
          <w:szCs w:val="32"/>
          <w:lang w:val="en-GB" w:eastAsia="zh-CN" w:bidi="en-US"/>
        </w:rPr>
        <w:t>四</w:t>
      </w:r>
      <w:bookmarkEnd w:id="3"/>
      <w:r>
        <w:rPr>
          <w:rFonts w:eastAsia="方正黑体_GBK" w:cs="Times New Roman"/>
          <w:caps w:val="0"/>
          <w:color w:val="auto"/>
          <w:spacing w:val="0"/>
          <w:kern w:val="2"/>
          <w:sz w:val="32"/>
          <w:szCs w:val="32"/>
          <w:lang w:val="en-GB" w:eastAsia="zh-CN" w:bidi="en-US"/>
        </w:rPr>
        <w:t>、水土流失分析与</w:t>
      </w:r>
      <w:r>
        <w:rPr>
          <w:rFonts w:hint="eastAsia" w:eastAsia="方正黑体_GBK" w:cs="Times New Roman"/>
          <w:caps w:val="0"/>
          <w:color w:val="auto"/>
          <w:spacing w:val="0"/>
          <w:kern w:val="2"/>
          <w:sz w:val="32"/>
          <w:szCs w:val="32"/>
          <w:lang w:val="en-GB" w:eastAsia="zh-CN" w:bidi="en-US"/>
        </w:rPr>
        <w:t>预测</w:t>
      </w:r>
    </w:p>
    <w:p>
      <w:pPr>
        <w:keepNext w:val="0"/>
        <w:keepLines w:val="0"/>
        <w:pageBreakBefore w:val="0"/>
        <w:kinsoku/>
        <w:wordWrap/>
        <w:overflowPunct/>
        <w:topLinePunct w:val="0"/>
        <w:autoSpaceDE/>
        <w:autoSpaceDN/>
        <w:bidi w:val="0"/>
        <w:adjustRightInd w:val="0"/>
        <w:snapToGrid w:val="0"/>
        <w:spacing w:beforeAutospacing="0" w:afterAutospacing="0" w:line="578" w:lineRule="exact"/>
        <w:ind w:left="0" w:leftChars="0" w:right="0" w:rightChars="0" w:firstLine="640" w:firstLineChars="200"/>
        <w:jc w:val="both"/>
        <w:textAlignment w:val="baseline"/>
        <w:rPr>
          <w:rFonts w:hint="eastAsia" w:ascii="方正仿宋_GBK" w:hAnsi="方正仿宋_GBK" w:eastAsia="方正仿宋_GBK" w:cs="方正仿宋_GBK"/>
          <w:caps w:val="0"/>
          <w:color w:val="92D050"/>
          <w:spacing w:val="0"/>
          <w:kern w:val="2"/>
          <w:sz w:val="32"/>
          <w:szCs w:val="32"/>
          <w:lang w:eastAsia="zh-CN"/>
        </w:rPr>
      </w:pPr>
      <w:r>
        <w:rPr>
          <w:rFonts w:hint="eastAsia" w:ascii="方正仿宋_GBK" w:hAnsi="方正仿宋_GBK" w:eastAsia="方正仿宋_GBK" w:cs="方正仿宋_GBK"/>
          <w:caps w:val="0"/>
          <w:color w:val="000000"/>
          <w:spacing w:val="0"/>
          <w:kern w:val="2"/>
          <w:sz w:val="32"/>
          <w:szCs w:val="32"/>
          <w:lang w:val="en-US" w:eastAsia="zh-CN"/>
        </w:rPr>
        <w:t>基本同意水土流失预测方法和预测结果。工程预测时段内因开挖扰动而产生的水土流失量为</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24297.19t</w:t>
      </w:r>
      <w:r>
        <w:rPr>
          <w:rFonts w:hint="eastAsia" w:ascii="方正仿宋_GBK" w:hAnsi="方正仿宋_GBK" w:eastAsia="方正仿宋_GBK" w:cs="方正仿宋_GBK"/>
          <w:bCs/>
          <w:caps w:val="0"/>
          <w:snapToGrid/>
          <w:color w:val="auto"/>
          <w:spacing w:val="0"/>
          <w:kern w:val="2"/>
          <w:sz w:val="32"/>
          <w:szCs w:val="32"/>
          <w:lang w:val="en-US" w:eastAsia="zh-CN" w:bidi="ar-SA"/>
        </w:rPr>
        <w:t>，</w:t>
      </w:r>
      <w:r>
        <w:rPr>
          <w:rFonts w:hint="eastAsia" w:ascii="方正仿宋_GBK" w:hAnsi="方正仿宋_GBK" w:eastAsia="方正仿宋_GBK" w:cs="方正仿宋_GBK"/>
          <w:caps w:val="0"/>
          <w:color w:val="000000"/>
          <w:spacing w:val="0"/>
          <w:kern w:val="2"/>
          <w:sz w:val="32"/>
          <w:szCs w:val="32"/>
          <w:lang w:val="en-US" w:eastAsia="zh-CN"/>
        </w:rPr>
        <w:t>工程新增水土流失量</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18325.78t</w:t>
      </w:r>
      <w:r>
        <w:rPr>
          <w:rFonts w:hint="eastAsia" w:ascii="方正仿宋_GBK" w:hAnsi="方正仿宋_GBK" w:eastAsia="方正仿宋_GBK" w:cs="方正仿宋_GBK"/>
          <w:caps w:val="0"/>
          <w:spacing w:val="0"/>
          <w:kern w:val="2"/>
          <w:sz w:val="32"/>
          <w:szCs w:val="44"/>
          <w:lang w:val="en-US" w:eastAsia="zh-CN"/>
        </w:rPr>
        <w:t>。</w:t>
      </w:r>
    </w:p>
    <w:p>
      <w:pPr>
        <w:pStyle w:val="7"/>
        <w:keepNext w:val="0"/>
        <w:keepLines w:val="0"/>
        <w:pageBreakBefore w:val="0"/>
        <w:tabs>
          <w:tab w:val="left" w:pos="1311"/>
        </w:tabs>
        <w:kinsoku/>
        <w:wordWrap/>
        <w:overflowPunct/>
        <w:topLinePunct w:val="0"/>
        <w:autoSpaceDE/>
        <w:autoSpaceDN/>
        <w:bidi w:val="0"/>
        <w:spacing w:line="578" w:lineRule="exact"/>
        <w:ind w:left="0" w:firstLine="640" w:firstLineChars="200"/>
        <w:jc w:val="both"/>
        <w:textAlignment w:val="auto"/>
        <w:rPr>
          <w:rFonts w:eastAsia="方正黑体_GBK" w:cs="Times New Roman"/>
          <w:caps w:val="0"/>
          <w:color w:val="auto"/>
          <w:spacing w:val="0"/>
          <w:kern w:val="2"/>
          <w:sz w:val="32"/>
          <w:szCs w:val="32"/>
          <w:lang w:val="en-GB" w:eastAsia="zh-CN" w:bidi="en-US"/>
        </w:rPr>
      </w:pPr>
      <w:bookmarkStart w:id="4" w:name="bookmark23"/>
      <w:r>
        <w:rPr>
          <w:rFonts w:eastAsia="方正黑体_GBK" w:cs="Times New Roman"/>
          <w:caps w:val="0"/>
          <w:color w:val="auto"/>
          <w:spacing w:val="0"/>
          <w:kern w:val="2"/>
          <w:sz w:val="32"/>
          <w:szCs w:val="32"/>
          <w:lang w:val="en-GB" w:eastAsia="zh-CN" w:bidi="en-US"/>
        </w:rPr>
        <w:t>五</w:t>
      </w:r>
      <w:bookmarkEnd w:id="4"/>
      <w:r>
        <w:rPr>
          <w:rFonts w:eastAsia="方正黑体_GBK" w:cs="Times New Roman"/>
          <w:caps w:val="0"/>
          <w:color w:val="auto"/>
          <w:spacing w:val="0"/>
          <w:kern w:val="2"/>
          <w:sz w:val="32"/>
          <w:szCs w:val="32"/>
          <w:lang w:val="en-GB" w:eastAsia="zh-CN" w:bidi="en-US"/>
        </w:rPr>
        <w:t>、水土保持措施</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hint="eastAsia" w:ascii="方正仿宋_GBK" w:hAnsi="方正仿宋_GBK" w:eastAsia="方正仿宋_GBK" w:cs="方正仿宋_GBK"/>
          <w:caps w:val="0"/>
          <w:spacing w:val="0"/>
          <w:kern w:val="2"/>
          <w:sz w:val="32"/>
          <w:szCs w:val="44"/>
          <w:lang w:val="en-US" w:eastAsia="zh-CN"/>
        </w:rPr>
      </w:pPr>
      <w:r>
        <w:rPr>
          <w:rFonts w:hint="eastAsia" w:ascii="方正仿宋_GBK" w:hAnsi="方正仿宋_GBK" w:eastAsia="方正仿宋_GBK" w:cs="方正仿宋_GBK"/>
          <w:caps w:val="0"/>
          <w:spacing w:val="0"/>
          <w:kern w:val="2"/>
          <w:sz w:val="32"/>
          <w:szCs w:val="44"/>
          <w:lang w:val="en-US" w:eastAsia="zh-CN"/>
        </w:rPr>
        <w:t>基本同意按照水土流失类型相同及治理措施位于</w:t>
      </w:r>
      <w:r>
        <w:rPr>
          <w:rFonts w:hint="eastAsia" w:ascii="方正仿宋_GBK" w:hAnsi="方正仿宋_GBK" w:eastAsia="方正仿宋_GBK" w:cs="方正仿宋_GBK"/>
          <w:bCs/>
          <w:caps w:val="0"/>
          <w:spacing w:val="0"/>
          <w:kern w:val="2"/>
          <w:sz w:val="32"/>
          <w:szCs w:val="44"/>
          <w:lang w:val="en-US" w:eastAsia="zh-CN"/>
        </w:rPr>
        <w:t>山前冲积倾斜砾质平原区</w:t>
      </w:r>
      <w:r>
        <w:rPr>
          <w:rFonts w:hint="eastAsia" w:ascii="方正仿宋_GBK" w:hAnsi="方正仿宋_GBK" w:eastAsia="方正仿宋_GBK" w:cs="方正仿宋_GBK"/>
          <w:caps w:val="0"/>
          <w:spacing w:val="0"/>
          <w:kern w:val="2"/>
          <w:sz w:val="32"/>
          <w:szCs w:val="44"/>
          <w:lang w:val="en-US" w:eastAsia="zh-CN"/>
        </w:rPr>
        <w:t>，侵蚀类型为风蚀、水力侵蚀，各区之间差异较大的原则，该项目的水土流失防治区划分为1个一级分区：</w:t>
      </w:r>
      <w:r>
        <w:rPr>
          <w:rFonts w:hint="eastAsia" w:ascii="方正仿宋_GBK" w:hAnsi="方正仿宋_GBK" w:eastAsia="方正仿宋_GBK" w:cs="方正仿宋_GBK"/>
          <w:bCs/>
          <w:caps w:val="0"/>
          <w:spacing w:val="0"/>
          <w:kern w:val="2"/>
          <w:sz w:val="32"/>
          <w:szCs w:val="44"/>
          <w:lang w:val="en-US" w:eastAsia="zh-CN"/>
        </w:rPr>
        <w:t>冲洪积平原区</w:t>
      </w:r>
      <w:r>
        <w:rPr>
          <w:rFonts w:hint="eastAsia" w:ascii="方正仿宋_GBK" w:hAnsi="方正仿宋_GBK" w:eastAsia="方正仿宋_GBK" w:cs="方正仿宋_GBK"/>
          <w:caps w:val="0"/>
          <w:spacing w:val="0"/>
          <w:kern w:val="2"/>
          <w:sz w:val="32"/>
          <w:szCs w:val="44"/>
          <w:lang w:val="en-US" w:eastAsia="zh-CN"/>
        </w:rPr>
        <w:t>。3个二级分区：取水工程区、水厂工程区、输配水管线工程区。</w:t>
      </w:r>
    </w:p>
    <w:p>
      <w:pPr>
        <w:pStyle w:val="7"/>
        <w:keepNext w:val="0"/>
        <w:keepLines w:val="0"/>
        <w:pageBreakBefore w:val="0"/>
        <w:shd w:val="clear" w:color="auto" w:fill="auto"/>
        <w:tabs>
          <w:tab w:val="left" w:pos="1422"/>
        </w:tabs>
        <w:kinsoku/>
        <w:wordWrap/>
        <w:overflowPunct/>
        <w:topLinePunct w:val="0"/>
        <w:autoSpaceDE/>
        <w:autoSpaceDN/>
        <w:bidi w:val="0"/>
        <w:spacing w:line="578" w:lineRule="exact"/>
        <w:ind w:left="0" w:leftChars="0" w:firstLine="640" w:firstLineChars="200"/>
        <w:jc w:val="both"/>
        <w:textAlignment w:val="auto"/>
        <w:rPr>
          <w:rFonts w:hint="default" w:ascii="方正楷体_GBK" w:hAnsi="方正楷体_GBK" w:eastAsia="方正楷体_GBK" w:cs="方正楷体_GBK"/>
          <w:caps w:val="0"/>
          <w:spacing w:val="0"/>
          <w:kern w:val="2"/>
          <w:sz w:val="32"/>
          <w:szCs w:val="32"/>
          <w:lang w:val="en-US" w:eastAsia="zh-CN"/>
        </w:rPr>
      </w:pPr>
      <w:r>
        <w:rPr>
          <w:rFonts w:hint="eastAsia" w:ascii="方正楷体_GBK" w:hAnsi="方正楷体_GBK" w:eastAsia="方正楷体_GBK" w:cs="方正楷体_GBK"/>
          <w:caps w:val="0"/>
          <w:spacing w:val="0"/>
          <w:kern w:val="2"/>
          <w:sz w:val="32"/>
          <w:szCs w:val="32"/>
          <w:lang w:val="en-US" w:eastAsia="zh-CN"/>
        </w:rPr>
        <w:t>（1）</w:t>
      </w:r>
      <w:r>
        <w:rPr>
          <w:rFonts w:hint="default" w:ascii="方正楷体_GBK" w:hAnsi="方正楷体_GBK" w:eastAsia="方正楷体_GBK" w:cs="方正楷体_GBK"/>
          <w:caps w:val="0"/>
          <w:spacing w:val="0"/>
          <w:kern w:val="2"/>
          <w:sz w:val="32"/>
          <w:szCs w:val="32"/>
          <w:lang w:val="en-US" w:eastAsia="zh-CN"/>
        </w:rPr>
        <w:t>渠道及渠系设施区</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default" w:ascii="方正仿宋_GBK" w:hAnsi="方正仿宋_GBK" w:eastAsia="方正仿宋_GBK" w:cs="方正仿宋_GBK"/>
          <w:caps w:val="0"/>
          <w:spacing w:val="0"/>
          <w:kern w:val="2"/>
          <w:sz w:val="32"/>
          <w:szCs w:val="44"/>
          <w:u w:val="none"/>
          <w:shd w:val="clear" w:color="auto" w:fill="auto"/>
          <w:lang w:val="en-US" w:eastAsia="zh-CN" w:bidi="zh-TW"/>
        </w:rPr>
        <w:t>工程措施</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：表土剥离</w:t>
      </w:r>
      <w:r>
        <w:rPr>
          <w:rFonts w:hint="eastAsia" w:ascii="方正仿宋_GBK" w:hAnsi="方正仿宋_GBK" w:eastAsia="方正仿宋_GBK" w:cs="方正仿宋_GBK"/>
          <w:b w:val="0"/>
          <w:bCs/>
          <w:i w:val="0"/>
          <w:caps w:val="0"/>
          <w:snapToGrid w:val="0"/>
          <w:color w:val="auto"/>
          <w:spacing w:val="0"/>
          <w:w w:val="100"/>
          <w:kern w:val="2"/>
          <w:sz w:val="32"/>
          <w:szCs w:val="32"/>
          <w:u w:val="none"/>
          <w:shd w:val="clear" w:color="auto" w:fill="auto"/>
          <w:lang w:val="en-US" w:eastAsia="zh-CN" w:bidi="ar-SA"/>
        </w:rPr>
        <w:t>2.74</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万</w:t>
      </w:r>
      <w:r>
        <w:rPr>
          <w:rFonts w:hint="eastAsia" w:ascii="方正仿宋_GBK" w:hAnsi="方正仿宋_GBK" w:eastAsia="方正仿宋_GBK" w:cs="方正仿宋_GBK"/>
          <w:b w:val="0"/>
          <w:bCs/>
          <w:i w:val="0"/>
          <w:caps w:val="0"/>
          <w:snapToGrid w:val="0"/>
          <w:color w:val="auto"/>
          <w:spacing w:val="0"/>
          <w:w w:val="100"/>
          <w:kern w:val="2"/>
          <w:sz w:val="32"/>
          <w:szCs w:val="32"/>
          <w:u w:val="none"/>
          <w:shd w:val="clear" w:color="auto" w:fill="auto"/>
          <w:lang w:val="en-US" w:eastAsia="zh-CN" w:bidi="ar-SA"/>
        </w:rPr>
        <w:t>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2240" w:firstLineChars="700"/>
        <w:jc w:val="left"/>
        <w:rPr>
          <w:rFonts w:hint="default"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土地平整</w:t>
      </w:r>
      <w:r>
        <w:rPr>
          <w:rFonts w:hint="eastAsia" w:ascii="方正仿宋_GBK" w:hAnsi="方正仿宋_GBK" w:eastAsia="方正仿宋_GBK" w:cs="方正仿宋_GBK"/>
          <w:b w:val="0"/>
          <w:bCs/>
          <w:i w:val="0"/>
          <w:caps w:val="0"/>
          <w:snapToGrid w:val="0"/>
          <w:color w:val="auto"/>
          <w:spacing w:val="0"/>
          <w:w w:val="100"/>
          <w:kern w:val="2"/>
          <w:sz w:val="32"/>
          <w:szCs w:val="32"/>
          <w:u w:val="none"/>
          <w:shd w:val="clear" w:color="auto" w:fill="auto"/>
          <w:lang w:val="en-US" w:eastAsia="zh-CN" w:bidi="ar-SA"/>
        </w:rPr>
        <w:t>9.01hm²</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default" w:ascii="方正仿宋_GBK" w:hAnsi="方正仿宋_GBK" w:eastAsia="方正仿宋_GBK" w:cs="方正仿宋_GBK"/>
          <w:caps w:val="0"/>
          <w:spacing w:val="0"/>
          <w:kern w:val="2"/>
          <w:sz w:val="32"/>
          <w:szCs w:val="44"/>
          <w:u w:val="none"/>
          <w:shd w:val="clear" w:color="auto" w:fill="auto"/>
          <w:lang w:val="en-US" w:eastAsia="zh-CN" w:bidi="zh-TW"/>
        </w:rPr>
        <w:t>临时措施</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：彩条旗限界：</w:t>
      </w:r>
      <w:r>
        <w:rPr>
          <w:rFonts w:hint="eastAsia" w:ascii="方正仿宋_GBK" w:hAnsi="方正仿宋_GBK" w:eastAsia="方正仿宋_GBK" w:cs="方正仿宋_GBK"/>
          <w:b w:val="0"/>
          <w:bCs/>
          <w:i w:val="0"/>
          <w:caps w:val="0"/>
          <w:snapToGrid w:val="0"/>
          <w:color w:val="auto"/>
          <w:spacing w:val="0"/>
          <w:w w:val="100"/>
          <w:kern w:val="2"/>
          <w:sz w:val="32"/>
          <w:szCs w:val="32"/>
          <w:u w:val="none"/>
          <w:shd w:val="clear" w:color="auto" w:fill="auto"/>
          <w:lang w:val="en-US" w:eastAsia="zh-CN" w:bidi="ar-SA"/>
        </w:rPr>
        <w:t>1000m</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7"/>
        <w:keepNext w:val="0"/>
        <w:keepLines w:val="0"/>
        <w:pageBreakBefore w:val="0"/>
        <w:numPr>
          <w:ilvl w:val="0"/>
          <w:numId w:val="0"/>
        </w:numPr>
        <w:shd w:val="clear" w:color="auto" w:fill="auto"/>
        <w:tabs>
          <w:tab w:val="left" w:pos="1422"/>
        </w:tabs>
        <w:kinsoku/>
        <w:wordWrap/>
        <w:overflowPunct/>
        <w:topLinePunct w:val="0"/>
        <w:autoSpaceDE/>
        <w:autoSpaceDN/>
        <w:bidi w:val="0"/>
        <w:spacing w:line="578" w:lineRule="exact"/>
        <w:ind w:firstLine="2240" w:firstLineChars="700"/>
        <w:jc w:val="left"/>
        <w:textAlignment w:val="auto"/>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洒水：</w:t>
      </w:r>
      <w:r>
        <w:rPr>
          <w:rFonts w:hint="eastAsia" w:ascii="方正仿宋_GBK" w:hAnsi="方正仿宋_GBK" w:eastAsia="方正仿宋_GBK" w:cs="方正仿宋_GBK"/>
          <w:b w:val="0"/>
          <w:bCs/>
          <w:i w:val="0"/>
          <w:caps w:val="0"/>
          <w:snapToGrid w:val="0"/>
          <w:color w:val="auto"/>
          <w:spacing w:val="0"/>
          <w:w w:val="100"/>
          <w:kern w:val="2"/>
          <w:sz w:val="32"/>
          <w:szCs w:val="32"/>
          <w:u w:val="none"/>
          <w:shd w:val="clear" w:color="auto" w:fill="auto"/>
          <w:lang w:val="en-US" w:eastAsia="zh-CN" w:bidi="ar-SA"/>
        </w:rPr>
        <w:t>820m³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7"/>
        <w:keepNext w:val="0"/>
        <w:keepLines w:val="0"/>
        <w:pageBreakBefore w:val="0"/>
        <w:numPr>
          <w:ilvl w:val="0"/>
          <w:numId w:val="0"/>
        </w:numPr>
        <w:shd w:val="clear" w:color="auto" w:fill="auto"/>
        <w:tabs>
          <w:tab w:val="left" w:pos="1422"/>
        </w:tabs>
        <w:kinsoku/>
        <w:wordWrap/>
        <w:overflowPunct/>
        <w:topLinePunct w:val="0"/>
        <w:autoSpaceDE/>
        <w:autoSpaceDN/>
        <w:bidi w:val="0"/>
        <w:spacing w:line="578" w:lineRule="exact"/>
        <w:ind w:firstLine="640" w:firstLineChars="200"/>
        <w:jc w:val="left"/>
        <w:textAlignment w:val="auto"/>
        <w:rPr>
          <w:rFonts w:hint="default" w:ascii="方正楷体_GBK" w:hAnsi="方正楷体_GBK" w:eastAsia="方正楷体_GBK" w:cs="方正楷体_GBK"/>
          <w:caps w:val="0"/>
          <w:spacing w:val="0"/>
          <w:kern w:val="2"/>
          <w:sz w:val="32"/>
          <w:szCs w:val="32"/>
          <w:shd w:val="clear" w:color="auto" w:fill="auto"/>
          <w:lang w:val="en-US" w:eastAsia="zh-CN" w:bidi="zh-TW"/>
        </w:rPr>
      </w:pPr>
      <w:r>
        <w:rPr>
          <w:rFonts w:hint="eastAsia" w:ascii="方正楷体_GBK" w:hAnsi="方正楷体_GBK" w:eastAsia="方正楷体_GBK" w:cs="方正楷体_GBK"/>
          <w:caps w:val="0"/>
          <w:spacing w:val="0"/>
          <w:kern w:val="2"/>
          <w:sz w:val="32"/>
          <w:szCs w:val="32"/>
          <w:shd w:val="clear" w:color="auto" w:fill="auto"/>
          <w:lang w:val="en-US" w:eastAsia="zh-CN" w:bidi="zh-TW"/>
        </w:rPr>
        <w:t>（2）</w:t>
      </w:r>
      <w:r>
        <w:rPr>
          <w:rFonts w:hint="default" w:ascii="方正楷体_GBK" w:hAnsi="方正楷体_GBK" w:eastAsia="方正楷体_GBK" w:cs="方正楷体_GBK"/>
          <w:caps w:val="0"/>
          <w:spacing w:val="0"/>
          <w:kern w:val="2"/>
          <w:sz w:val="32"/>
          <w:szCs w:val="32"/>
          <w:shd w:val="clear" w:color="auto" w:fill="auto"/>
          <w:lang w:val="en-US" w:eastAsia="zh-CN" w:bidi="zh-TW"/>
        </w:rPr>
        <w:t>土地平整区</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工程措施：表土回覆</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4.56</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万</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临时措施：彩条旗限界：</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1000m</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2240" w:firstLineChars="7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洒水：</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3000m³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right="0" w:rightChars="0" w:firstLine="640" w:firstLineChars="200"/>
        <w:jc w:val="left"/>
        <w:rPr>
          <w:rFonts w:hint="eastAsia" w:ascii="方正楷体_GBK" w:hAnsi="方正楷体_GBK" w:eastAsia="方正楷体_GBK" w:cs="方正楷体_GBK"/>
          <w:bCs/>
          <w:caps w:val="0"/>
          <w:color w:val="auto"/>
          <w:kern w:val="2"/>
          <w:sz w:val="32"/>
          <w:szCs w:val="32"/>
        </w:rPr>
      </w:pPr>
      <w:r>
        <w:rPr>
          <w:rFonts w:hint="eastAsia" w:ascii="方正楷体_GBK" w:hAnsi="方正楷体_GBK" w:eastAsia="方正楷体_GBK" w:cs="方正楷体_GBK"/>
          <w:bCs/>
          <w:caps w:val="0"/>
          <w:color w:val="auto"/>
          <w:kern w:val="2"/>
          <w:sz w:val="32"/>
          <w:szCs w:val="32"/>
          <w:lang w:eastAsia="zh-CN"/>
        </w:rPr>
        <w:t>（</w:t>
      </w:r>
      <w:r>
        <w:rPr>
          <w:rFonts w:hint="eastAsia" w:ascii="方正楷体_GBK" w:hAnsi="方正楷体_GBK" w:eastAsia="方正楷体_GBK" w:cs="方正楷体_GBK"/>
          <w:bCs/>
          <w:caps w:val="0"/>
          <w:color w:val="auto"/>
          <w:kern w:val="2"/>
          <w:sz w:val="32"/>
          <w:szCs w:val="32"/>
          <w:lang w:val="en-US" w:eastAsia="zh-CN"/>
        </w:rPr>
        <w:t>3）</w:t>
      </w:r>
      <w:r>
        <w:rPr>
          <w:rFonts w:hint="eastAsia" w:ascii="方正楷体_GBK" w:hAnsi="方正楷体_GBK" w:eastAsia="方正楷体_GBK" w:cs="方正楷体_GBK"/>
          <w:bCs/>
          <w:caps w:val="0"/>
          <w:color w:val="auto"/>
          <w:kern w:val="2"/>
          <w:sz w:val="32"/>
          <w:szCs w:val="32"/>
        </w:rPr>
        <w:t>田间道路区</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工程措施：表土剥离</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1.82</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万</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2240" w:firstLineChars="7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土地平整</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1.83hm²</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临时措施：彩条旗限界：</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500m</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2240" w:firstLineChars="700"/>
        <w:jc w:val="left"/>
        <w:rPr>
          <w:rFonts w:hint="default"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洒水：</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550m³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default" w:ascii="Times New Roman" w:hAnsi="Times New Roman" w:eastAsia="仿宋_GB2312" w:cs="Times New Roman"/>
          <w:bCs/>
          <w:caps w:val="0"/>
          <w:color w:val="auto"/>
          <w:kern w:val="2"/>
          <w:sz w:val="32"/>
          <w:szCs w:val="32"/>
        </w:rPr>
      </w:pPr>
      <w:r>
        <w:rPr>
          <w:rFonts w:hint="eastAsia" w:ascii="方正楷体_GBK" w:hAnsi="方正楷体_GBK" w:eastAsia="方正楷体_GBK" w:cs="方正楷体_GBK"/>
          <w:bCs/>
          <w:caps w:val="0"/>
          <w:color w:val="auto"/>
          <w:kern w:val="2"/>
          <w:sz w:val="32"/>
          <w:szCs w:val="32"/>
          <w:lang w:eastAsia="zh-CN"/>
        </w:rPr>
        <w:t>（</w:t>
      </w:r>
      <w:r>
        <w:rPr>
          <w:rFonts w:hint="eastAsia" w:ascii="方正楷体_GBK" w:hAnsi="方正楷体_GBK" w:eastAsia="方正楷体_GBK" w:cs="方正楷体_GBK"/>
          <w:bCs/>
          <w:caps w:val="0"/>
          <w:color w:val="auto"/>
          <w:kern w:val="2"/>
          <w:sz w:val="32"/>
          <w:szCs w:val="32"/>
          <w:lang w:val="en-US" w:eastAsia="zh-CN"/>
        </w:rPr>
        <w:t>4）</w:t>
      </w:r>
      <w:r>
        <w:rPr>
          <w:rFonts w:hint="eastAsia" w:ascii="方正楷体_GBK" w:hAnsi="方正楷体_GBK" w:eastAsia="方正楷体_GBK" w:cs="方正楷体_GBK"/>
          <w:bCs/>
          <w:caps w:val="0"/>
          <w:color w:val="auto"/>
          <w:kern w:val="2"/>
          <w:sz w:val="32"/>
          <w:szCs w:val="32"/>
        </w:rPr>
        <w:t>管理区</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工程措施：土地平整</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0.02hm²</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（主体已列）</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640" w:firstLineChars="2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临时措施：洒水</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2m³</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2240" w:firstLineChars="700"/>
        <w:jc w:val="left"/>
        <w:rPr>
          <w:rFonts w:hint="eastAsia" w:ascii="方正仿宋_GBK" w:hAnsi="方正仿宋_GBK" w:eastAsia="方正仿宋_GBK" w:cs="方正仿宋_GBK"/>
          <w:caps w:val="0"/>
          <w:spacing w:val="0"/>
          <w:kern w:val="2"/>
          <w:sz w:val="32"/>
          <w:szCs w:val="44"/>
          <w:u w:val="none"/>
          <w:shd w:val="clear" w:color="auto" w:fill="auto"/>
          <w:lang w:val="en-US" w:eastAsia="zh-CN" w:bidi="zh-TW"/>
        </w:rPr>
      </w:pP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彩条旗限界：</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200m</w:t>
      </w:r>
      <w:r>
        <w:rPr>
          <w:rFonts w:hint="eastAsia" w:ascii="方正仿宋_GBK" w:hAnsi="方正仿宋_GBK" w:eastAsia="方正仿宋_GBK" w:cs="方正仿宋_GBK"/>
          <w:caps w:val="0"/>
          <w:spacing w:val="0"/>
          <w:kern w:val="2"/>
          <w:sz w:val="32"/>
          <w:szCs w:val="44"/>
          <w:u w:val="none"/>
          <w:shd w:val="clear" w:color="auto" w:fill="auto"/>
          <w:lang w:val="en-US" w:eastAsia="zh-CN" w:bidi="zh-TW"/>
        </w:rPr>
        <w:t>（方案新增）</w:t>
      </w:r>
      <w:r>
        <w:rPr>
          <w:rFonts w:hint="eastAsia" w:ascii="方正仿宋_GBK" w:hAnsi="方正仿宋_GBK" w:eastAsia="方正仿宋_GBK" w:cs="方正仿宋_GBK"/>
          <w:caps w:val="0"/>
          <w:spacing w:val="0"/>
          <w:kern w:val="2"/>
          <w:sz w:val="32"/>
          <w:szCs w:val="44"/>
          <w:lang w:val="en-US" w:eastAsia="zh-CN"/>
        </w:rPr>
        <w:t>。</w:t>
      </w:r>
    </w:p>
    <w:p>
      <w:pPr>
        <w:pStyle w:val="7"/>
        <w:keepNext w:val="0"/>
        <w:keepLines w:val="0"/>
        <w:pageBreakBefore w:val="0"/>
        <w:tabs>
          <w:tab w:val="left" w:pos="1422"/>
        </w:tabs>
        <w:kinsoku/>
        <w:wordWrap/>
        <w:overflowPunct/>
        <w:topLinePunct w:val="0"/>
        <w:autoSpaceDE/>
        <w:autoSpaceDN/>
        <w:bidi w:val="0"/>
        <w:spacing w:line="578" w:lineRule="exact"/>
        <w:ind w:left="0" w:firstLine="640" w:firstLineChars="200"/>
        <w:jc w:val="both"/>
        <w:textAlignment w:val="auto"/>
        <w:rPr>
          <w:rFonts w:eastAsia="方正黑体_GBK" w:cs="Times New Roman"/>
          <w:caps w:val="0"/>
          <w:spacing w:val="0"/>
          <w:kern w:val="2"/>
          <w:sz w:val="32"/>
          <w:szCs w:val="32"/>
          <w:lang w:val="en-GB" w:eastAsia="zh-CN" w:bidi="en-US"/>
        </w:rPr>
      </w:pPr>
      <w:r>
        <w:rPr>
          <w:rFonts w:eastAsia="方正黑体_GBK" w:cs="Times New Roman"/>
          <w:caps w:val="0"/>
          <w:spacing w:val="0"/>
          <w:kern w:val="2"/>
          <w:sz w:val="32"/>
          <w:szCs w:val="32"/>
          <w:lang w:val="en-GB" w:eastAsia="zh-CN" w:bidi="en-US"/>
        </w:rPr>
        <w:t>六、水土保持投资</w:t>
      </w:r>
      <w:r>
        <w:rPr>
          <w:rFonts w:hint="eastAsia" w:eastAsia="方正黑体_GBK" w:cs="Times New Roman"/>
          <w:caps w:val="0"/>
          <w:spacing w:val="0"/>
          <w:kern w:val="2"/>
          <w:sz w:val="32"/>
          <w:szCs w:val="32"/>
          <w:lang w:val="en-GB" w:eastAsia="zh-CN" w:bidi="en-US"/>
        </w:rPr>
        <w:t>估</w:t>
      </w:r>
      <w:r>
        <w:rPr>
          <w:rFonts w:eastAsia="方正黑体_GBK" w:cs="Times New Roman"/>
          <w:caps w:val="0"/>
          <w:spacing w:val="0"/>
          <w:kern w:val="2"/>
          <w:sz w:val="32"/>
          <w:szCs w:val="32"/>
          <w:lang w:val="en-GB" w:eastAsia="zh-CN" w:bidi="en-US"/>
        </w:rPr>
        <w:t>算和效益分析</w:t>
      </w:r>
    </w:p>
    <w:p>
      <w:pPr>
        <w:pStyle w:val="7"/>
        <w:keepNext w:val="0"/>
        <w:keepLines w:val="0"/>
        <w:pageBreakBefore w:val="0"/>
        <w:kinsoku/>
        <w:wordWrap/>
        <w:overflowPunct/>
        <w:topLinePunct w:val="0"/>
        <w:autoSpaceDE/>
        <w:autoSpaceDN/>
        <w:bidi w:val="0"/>
        <w:spacing w:line="578" w:lineRule="exact"/>
        <w:ind w:left="0" w:firstLine="640" w:firstLineChars="200"/>
        <w:jc w:val="both"/>
        <w:textAlignment w:val="auto"/>
        <w:rPr>
          <w:rFonts w:hint="eastAsia" w:ascii="方正楷体_GBK" w:hAnsi="方正楷体_GBK" w:eastAsia="方正楷体_GBK" w:cs="方正楷体_GBK"/>
          <w:caps w:val="0"/>
          <w:spacing w:val="0"/>
          <w:kern w:val="2"/>
          <w:sz w:val="32"/>
          <w:szCs w:val="32"/>
          <w:lang w:eastAsia="zh-CN"/>
        </w:rPr>
      </w:pPr>
      <w:r>
        <w:rPr>
          <w:rFonts w:hint="eastAsia" w:ascii="方正楷体_GBK" w:hAnsi="方正楷体_GBK" w:eastAsia="方正楷体_GBK" w:cs="方正楷体_GBK"/>
          <w:caps w:val="0"/>
          <w:spacing w:val="0"/>
          <w:kern w:val="2"/>
          <w:sz w:val="32"/>
          <w:szCs w:val="32"/>
          <w:lang w:eastAsia="zh-CN"/>
        </w:rPr>
        <w:t>（一）投资估算</w:t>
      </w:r>
    </w:p>
    <w:p>
      <w:pPr>
        <w:keepNext w:val="0"/>
        <w:keepLines w:val="0"/>
        <w:pageBreakBefore w:val="0"/>
        <w:kinsoku/>
        <w:wordWrap/>
        <w:overflowPunct/>
        <w:topLinePunct w:val="0"/>
        <w:autoSpaceDE/>
        <w:autoSpaceDN/>
        <w:bidi w:val="0"/>
        <w:adjustRightInd w:val="0"/>
        <w:snapToGrid w:val="0"/>
        <w:spacing w:beforeAutospacing="0" w:afterAutospacing="0" w:line="578" w:lineRule="exact"/>
        <w:ind w:left="0" w:leftChars="0" w:right="0" w:rightChars="0" w:firstLine="640" w:firstLineChars="200"/>
        <w:jc w:val="both"/>
        <w:textAlignment w:val="baseline"/>
        <w:rPr>
          <w:rFonts w:hint="eastAsia" w:ascii="方正仿宋_GBK" w:hAnsi="方正仿宋_GBK" w:eastAsia="方正仿宋_GBK" w:cs="方正仿宋_GBK"/>
          <w:bCs/>
          <w:caps w:val="0"/>
          <w:snapToGrid/>
          <w:color w:val="auto"/>
          <w:spacing w:val="0"/>
          <w:kern w:val="2"/>
          <w:sz w:val="32"/>
          <w:szCs w:val="32"/>
          <w:lang w:val="en-US" w:eastAsia="zh-CN" w:bidi="ar-SA"/>
        </w:rPr>
      </w:pPr>
      <w:r>
        <w:rPr>
          <w:rFonts w:hint="eastAsia" w:ascii="方正仿宋_GBK" w:hAnsi="方正仿宋_GBK" w:eastAsia="方正仿宋_GBK" w:cs="方正仿宋_GBK"/>
          <w:caps w:val="0"/>
          <w:spacing w:val="0"/>
          <w:kern w:val="2"/>
          <w:sz w:val="32"/>
          <w:szCs w:val="44"/>
          <w:lang w:val="en-US" w:eastAsia="zh-CN"/>
        </w:rPr>
        <w:t>基本同意水土保持投资概（估）算编制依据、方法和成果。该工程水土保持概（估）算水土保持总投资</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86.55</w:t>
      </w:r>
      <w:r>
        <w:rPr>
          <w:rFonts w:hint="eastAsia" w:ascii="方正仿宋_GBK" w:hAnsi="方正仿宋_GBK" w:eastAsia="方正仿宋_GBK" w:cs="方正仿宋_GBK"/>
          <w:caps w:val="0"/>
          <w:spacing w:val="0"/>
          <w:kern w:val="2"/>
          <w:sz w:val="32"/>
          <w:szCs w:val="44"/>
          <w:lang w:val="en-US"/>
        </w:rPr>
        <w:t>万元，其中主体工程已有水土保持措施投资为</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54.59</w:t>
      </w:r>
      <w:r>
        <w:rPr>
          <w:rFonts w:hint="eastAsia" w:ascii="方正仿宋_GBK" w:hAnsi="方正仿宋_GBK" w:eastAsia="方正仿宋_GBK" w:cs="方正仿宋_GBK"/>
          <w:caps w:val="0"/>
          <w:spacing w:val="0"/>
          <w:kern w:val="2"/>
          <w:sz w:val="32"/>
          <w:szCs w:val="44"/>
          <w:lang w:val="en-US"/>
        </w:rPr>
        <w:t>万元，方案新增水土保持措施投资为</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30.16</w:t>
      </w:r>
      <w:r>
        <w:rPr>
          <w:rFonts w:hint="eastAsia" w:ascii="方正仿宋_GBK" w:hAnsi="方正仿宋_GBK" w:eastAsia="方正仿宋_GBK" w:cs="方正仿宋_GBK"/>
          <w:caps w:val="0"/>
          <w:spacing w:val="0"/>
          <w:kern w:val="2"/>
          <w:sz w:val="32"/>
          <w:szCs w:val="44"/>
          <w:lang w:val="en-US"/>
        </w:rPr>
        <w:t>万元。工程措施投资</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54.59</w:t>
      </w:r>
      <w:r>
        <w:rPr>
          <w:rFonts w:hint="eastAsia" w:ascii="方正仿宋_GBK" w:hAnsi="方正仿宋_GBK" w:eastAsia="方正仿宋_GBK" w:cs="方正仿宋_GBK"/>
          <w:caps w:val="0"/>
          <w:spacing w:val="0"/>
          <w:kern w:val="2"/>
          <w:sz w:val="32"/>
          <w:szCs w:val="44"/>
          <w:lang w:val="en-US"/>
        </w:rPr>
        <w:t>万元，植物措施投资</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0.00</w:t>
      </w:r>
      <w:r>
        <w:rPr>
          <w:rFonts w:hint="eastAsia" w:ascii="方正仿宋_GBK" w:hAnsi="方正仿宋_GBK" w:eastAsia="方正仿宋_GBK" w:cs="方正仿宋_GBK"/>
          <w:caps w:val="0"/>
          <w:spacing w:val="0"/>
          <w:kern w:val="2"/>
          <w:sz w:val="32"/>
          <w:szCs w:val="44"/>
          <w:lang w:val="en-US"/>
        </w:rPr>
        <w:t>万元，临时措施投资</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6.55</w:t>
      </w:r>
      <w:r>
        <w:rPr>
          <w:rFonts w:hint="eastAsia" w:ascii="方正仿宋_GBK" w:hAnsi="方正仿宋_GBK" w:eastAsia="方正仿宋_GBK" w:cs="方正仿宋_GBK"/>
          <w:caps w:val="0"/>
          <w:spacing w:val="0"/>
          <w:kern w:val="2"/>
          <w:sz w:val="32"/>
          <w:szCs w:val="44"/>
          <w:lang w:val="en-US"/>
        </w:rPr>
        <w:t>万元，独立费用</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23.61</w:t>
      </w:r>
      <w:r>
        <w:rPr>
          <w:rFonts w:hint="eastAsia" w:ascii="方正仿宋_GBK" w:hAnsi="方正仿宋_GBK" w:eastAsia="方正仿宋_GBK" w:cs="方正仿宋_GBK"/>
          <w:caps w:val="0"/>
          <w:spacing w:val="0"/>
          <w:kern w:val="2"/>
          <w:sz w:val="32"/>
          <w:szCs w:val="44"/>
          <w:lang w:val="en-US"/>
        </w:rPr>
        <w:t>万元</w:t>
      </w:r>
      <w:r>
        <w:rPr>
          <w:rFonts w:hint="eastAsia" w:ascii="方正仿宋_GBK" w:hAnsi="方正仿宋_GBK" w:eastAsia="方正仿宋_GBK" w:cs="方正仿宋_GBK"/>
          <w:bCs/>
          <w:caps w:val="0"/>
          <w:snapToGrid/>
          <w:color w:val="auto"/>
          <w:spacing w:val="0"/>
          <w:kern w:val="2"/>
          <w:sz w:val="32"/>
          <w:szCs w:val="32"/>
          <w:lang w:val="en-US" w:eastAsia="zh-CN" w:bidi="ar-SA"/>
        </w:rPr>
        <w:t>（其中建设管理费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0.13</w:t>
      </w:r>
      <w:r>
        <w:rPr>
          <w:rFonts w:hint="eastAsia" w:ascii="方正仿宋_GBK" w:hAnsi="方正仿宋_GBK" w:eastAsia="方正仿宋_GBK" w:cs="方正仿宋_GBK"/>
          <w:bCs/>
          <w:caps w:val="0"/>
          <w:snapToGrid/>
          <w:color w:val="auto"/>
          <w:spacing w:val="0"/>
          <w:kern w:val="2"/>
          <w:sz w:val="32"/>
          <w:szCs w:val="32"/>
          <w:lang w:val="en-US" w:eastAsia="zh-CN" w:bidi="ar-SA"/>
        </w:rPr>
        <w:t>万元，科研勘测设计费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6.00</w:t>
      </w:r>
      <w:r>
        <w:rPr>
          <w:rFonts w:hint="eastAsia" w:ascii="方正仿宋_GBK" w:hAnsi="方正仿宋_GBK" w:eastAsia="方正仿宋_GBK" w:cs="方正仿宋_GBK"/>
          <w:bCs/>
          <w:caps w:val="0"/>
          <w:snapToGrid/>
          <w:color w:val="auto"/>
          <w:spacing w:val="0"/>
          <w:kern w:val="2"/>
          <w:sz w:val="32"/>
          <w:szCs w:val="32"/>
          <w:lang w:val="en-US" w:eastAsia="zh-CN" w:bidi="ar-SA"/>
        </w:rPr>
        <w:t>万元，工程建设监理费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0.00</w:t>
      </w:r>
      <w:r>
        <w:rPr>
          <w:rFonts w:hint="eastAsia" w:ascii="方正仿宋_GBK" w:hAnsi="方正仿宋_GBK" w:eastAsia="方正仿宋_GBK" w:cs="方正仿宋_GBK"/>
          <w:bCs/>
          <w:caps w:val="0"/>
          <w:snapToGrid/>
          <w:color w:val="auto"/>
          <w:spacing w:val="0"/>
          <w:kern w:val="2"/>
          <w:sz w:val="32"/>
          <w:szCs w:val="32"/>
          <w:lang w:val="en-US" w:eastAsia="zh-CN" w:bidi="ar-SA"/>
        </w:rPr>
        <w:t>万元，水土流失监测费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12.48</w:t>
      </w:r>
      <w:r>
        <w:rPr>
          <w:rFonts w:hint="eastAsia" w:ascii="方正仿宋_GBK" w:hAnsi="方正仿宋_GBK" w:eastAsia="方正仿宋_GBK" w:cs="方正仿宋_GBK"/>
          <w:bCs/>
          <w:caps w:val="0"/>
          <w:snapToGrid/>
          <w:color w:val="auto"/>
          <w:spacing w:val="0"/>
          <w:kern w:val="2"/>
          <w:sz w:val="32"/>
          <w:szCs w:val="32"/>
          <w:lang w:val="en-US" w:eastAsia="zh-CN" w:bidi="ar-SA"/>
        </w:rPr>
        <w:t>万元，水土保持设施验收报告编制费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5.00</w:t>
      </w:r>
      <w:r>
        <w:rPr>
          <w:rFonts w:hint="eastAsia" w:ascii="方正仿宋_GBK" w:hAnsi="方正仿宋_GBK" w:eastAsia="方正仿宋_GBK" w:cs="方正仿宋_GBK"/>
          <w:bCs/>
          <w:caps w:val="0"/>
          <w:snapToGrid/>
          <w:color w:val="auto"/>
          <w:spacing w:val="0"/>
          <w:kern w:val="2"/>
          <w:sz w:val="32"/>
          <w:szCs w:val="32"/>
          <w:lang w:val="en-US" w:eastAsia="zh-CN" w:bidi="ar-SA"/>
        </w:rPr>
        <w:t>万元），基本预备费</w:t>
      </w:r>
      <w:r>
        <w:rPr>
          <w:rFonts w:hint="eastAsia" w:ascii="方正仿宋_GBK" w:hAnsi="方正仿宋_GBK" w:eastAsia="方正仿宋_GBK" w:cs="方正仿宋_GBK"/>
          <w:b w:val="0"/>
          <w:bCs/>
          <w:i w:val="0"/>
          <w:caps w:val="0"/>
          <w:snapToGrid w:val="0"/>
          <w:color w:val="auto"/>
          <w:spacing w:val="0"/>
          <w:w w:val="100"/>
          <w:kern w:val="2"/>
          <w:sz w:val="32"/>
          <w:szCs w:val="32"/>
          <w:lang w:val="en-US" w:eastAsia="zh-CN" w:bidi="ar-SA"/>
        </w:rPr>
        <w:t>1.80</w:t>
      </w:r>
      <w:r>
        <w:rPr>
          <w:rFonts w:hint="eastAsia" w:ascii="方正仿宋_GBK" w:hAnsi="方正仿宋_GBK" w:eastAsia="方正仿宋_GBK" w:cs="方正仿宋_GBK"/>
          <w:bCs/>
          <w:caps w:val="0"/>
          <w:snapToGrid/>
          <w:color w:val="auto"/>
          <w:spacing w:val="0"/>
          <w:kern w:val="2"/>
          <w:sz w:val="32"/>
          <w:szCs w:val="32"/>
          <w:lang w:val="en-US" w:eastAsia="zh-CN" w:bidi="ar-SA"/>
        </w:rPr>
        <w:t>万元，免征水土保持补偿费。</w:t>
      </w:r>
    </w:p>
    <w:p>
      <w:pPr>
        <w:pStyle w:val="7"/>
        <w:keepNext w:val="0"/>
        <w:keepLines w:val="0"/>
        <w:pageBreakBefore w:val="0"/>
        <w:kinsoku/>
        <w:wordWrap/>
        <w:overflowPunct/>
        <w:topLinePunct w:val="0"/>
        <w:autoSpaceDE/>
        <w:autoSpaceDN/>
        <w:bidi w:val="0"/>
        <w:spacing w:line="578" w:lineRule="exact"/>
        <w:ind w:left="0" w:leftChars="0" w:firstLine="640" w:firstLineChars="200"/>
        <w:jc w:val="both"/>
        <w:textAlignment w:val="auto"/>
        <w:rPr>
          <w:rFonts w:hint="eastAsia" w:ascii="方正楷体_GBK" w:hAnsi="方正楷体_GBK" w:eastAsia="方正楷体_GBK" w:cs="方正楷体_GBK"/>
          <w:caps w:val="0"/>
          <w:spacing w:val="0"/>
          <w:kern w:val="2"/>
          <w:sz w:val="32"/>
          <w:szCs w:val="32"/>
          <w:lang w:eastAsia="zh-CN"/>
        </w:rPr>
      </w:pPr>
      <w:r>
        <w:rPr>
          <w:rFonts w:hint="eastAsia" w:ascii="方正楷体_GBK" w:hAnsi="方正楷体_GBK" w:eastAsia="方正楷体_GBK" w:cs="方正楷体_GBK"/>
          <w:caps w:val="0"/>
          <w:spacing w:val="0"/>
          <w:kern w:val="2"/>
          <w:sz w:val="32"/>
          <w:szCs w:val="32"/>
          <w:lang w:eastAsia="zh-CN"/>
        </w:rPr>
        <w:t>（二）效益分析</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eastAsia="方正仿宋_GBK" w:cs="Times New Roman"/>
          <w:caps w:val="0"/>
          <w:spacing w:val="0"/>
          <w:kern w:val="2"/>
          <w:sz w:val="32"/>
          <w:szCs w:val="44"/>
          <w:lang w:val="en-US" w:eastAsia="zh-CN"/>
        </w:rPr>
      </w:pPr>
      <w:r>
        <w:rPr>
          <w:rFonts w:eastAsia="方正仿宋_GBK" w:cs="Times New Roman"/>
          <w:caps w:val="0"/>
          <w:spacing w:val="0"/>
          <w:kern w:val="2"/>
          <w:sz w:val="32"/>
          <w:szCs w:val="44"/>
          <w:lang w:val="en-US" w:eastAsia="zh-CN"/>
        </w:rPr>
        <w:t>基本同意水土保持效益分析。水土保持方案措施实施后，将极大地改善防治责任范围内的环境质量，使项目建设造成的水土流失得到有效控制，被破坏的地表得到恢复，有利于整个生态系统的平衡，减轻各种自然灾害可能造成的损失。</w:t>
      </w:r>
    </w:p>
    <w:p>
      <w:pPr>
        <w:pStyle w:val="7"/>
        <w:keepNext w:val="0"/>
        <w:keepLines w:val="0"/>
        <w:pageBreakBefore w:val="0"/>
        <w:kinsoku/>
        <w:wordWrap/>
        <w:overflowPunct/>
        <w:topLinePunct w:val="0"/>
        <w:autoSpaceDE/>
        <w:autoSpaceDN/>
        <w:bidi w:val="0"/>
        <w:spacing w:line="578" w:lineRule="exact"/>
        <w:ind w:left="0" w:firstLine="640" w:firstLineChars="200"/>
        <w:jc w:val="both"/>
        <w:textAlignment w:val="auto"/>
        <w:rPr>
          <w:rFonts w:eastAsia="方正黑体_GBK" w:cs="Times New Roman"/>
          <w:caps w:val="0"/>
          <w:spacing w:val="0"/>
          <w:kern w:val="2"/>
          <w:sz w:val="32"/>
          <w:szCs w:val="32"/>
          <w:lang w:val="en-GB" w:eastAsia="zh-CN" w:bidi="en-US"/>
        </w:rPr>
      </w:pPr>
      <w:r>
        <w:rPr>
          <w:rFonts w:eastAsia="方正黑体_GBK" w:cs="Times New Roman"/>
          <w:caps w:val="0"/>
          <w:spacing w:val="0"/>
          <w:kern w:val="2"/>
          <w:sz w:val="32"/>
          <w:szCs w:val="32"/>
          <w:lang w:val="en-GB" w:eastAsia="zh-CN" w:bidi="en-US"/>
        </w:rPr>
        <w:t>七、水土保持管理</w:t>
      </w:r>
    </w:p>
    <w:p>
      <w:pPr>
        <w:pStyle w:val="7"/>
        <w:keepNext w:val="0"/>
        <w:keepLines w:val="0"/>
        <w:pageBreakBefore w:val="0"/>
        <w:tabs>
          <w:tab w:val="left" w:pos="1622"/>
        </w:tabs>
        <w:kinsoku/>
        <w:wordWrap/>
        <w:overflowPunct/>
        <w:topLinePunct w:val="0"/>
        <w:autoSpaceDE/>
        <w:autoSpaceDN/>
        <w:bidi w:val="0"/>
        <w:spacing w:line="578" w:lineRule="exact"/>
        <w:ind w:left="0" w:firstLine="640" w:firstLineChars="200"/>
        <w:jc w:val="both"/>
        <w:textAlignment w:val="auto"/>
        <w:rPr>
          <w:rFonts w:eastAsia="方正仿宋_GBK" w:cs="Times New Roman"/>
          <w:caps w:val="0"/>
          <w:spacing w:val="0"/>
          <w:kern w:val="2"/>
          <w:sz w:val="32"/>
          <w:szCs w:val="44"/>
          <w:lang w:val="en-US" w:eastAsia="zh-CN"/>
        </w:rPr>
      </w:pPr>
      <w:r>
        <w:rPr>
          <w:rFonts w:eastAsia="方正仿宋_GBK" w:cs="Times New Roman"/>
          <w:caps w:val="0"/>
          <w:spacing w:val="0"/>
          <w:kern w:val="2"/>
          <w:sz w:val="32"/>
          <w:szCs w:val="44"/>
          <w:lang w:val="en-US" w:eastAsia="zh-CN"/>
        </w:rPr>
        <w:t>基本同意水土保持方案从组织管理、招投标、水土保持工程监理、施工管理等各方面提出的方案实施保证措施。</w:t>
      </w:r>
    </w:p>
    <w:p>
      <w:pPr>
        <w:pStyle w:val="7"/>
        <w:keepNext w:val="0"/>
        <w:keepLines w:val="0"/>
        <w:pageBreakBefore w:val="0"/>
        <w:kinsoku/>
        <w:wordWrap/>
        <w:overflowPunct/>
        <w:topLinePunct w:val="0"/>
        <w:autoSpaceDE/>
        <w:autoSpaceDN/>
        <w:bidi w:val="0"/>
        <w:spacing w:line="578" w:lineRule="exact"/>
        <w:ind w:left="0" w:firstLine="640" w:firstLineChars="200"/>
        <w:jc w:val="both"/>
        <w:textAlignment w:val="auto"/>
        <w:rPr>
          <w:rFonts w:eastAsia="方正黑体_GBK" w:cs="Times New Roman"/>
          <w:caps w:val="0"/>
          <w:spacing w:val="0"/>
          <w:kern w:val="2"/>
          <w:sz w:val="32"/>
          <w:szCs w:val="32"/>
          <w:lang w:val="en-GB" w:eastAsia="zh-CN" w:bidi="en-US"/>
        </w:rPr>
      </w:pPr>
      <w:r>
        <w:rPr>
          <w:rFonts w:eastAsia="方正黑体_GBK" w:cs="Times New Roman"/>
          <w:caps w:val="0"/>
          <w:spacing w:val="0"/>
          <w:kern w:val="2"/>
          <w:sz w:val="32"/>
          <w:szCs w:val="32"/>
          <w:lang w:val="en-GB" w:eastAsia="zh-CN" w:bidi="en-US"/>
        </w:rPr>
        <w:t>本技术审查意见仅限于生产建设项目水土流失预防和治理范畴。因之发生的相关赔偿、补偿，由生产建设项目法人负责。</w:t>
      </w:r>
    </w:p>
    <w:p>
      <w:pPr>
        <w:keepNext w:val="0"/>
        <w:keepLines w:val="0"/>
        <w:pageBreakBefore w:val="0"/>
        <w:kinsoku/>
        <w:wordWrap/>
        <w:overflowPunct/>
        <w:topLinePunct w:val="0"/>
        <w:autoSpaceDE/>
        <w:autoSpaceDN/>
        <w:bidi w:val="0"/>
        <w:spacing w:line="578" w:lineRule="exact"/>
        <w:ind w:left="0"/>
        <w:jc w:val="both"/>
        <w:textAlignment w:val="auto"/>
        <w:rPr>
          <w:rFonts w:ascii="宋体" w:hAnsi="宋体"/>
          <w:caps w:val="0"/>
          <w:spacing w:val="0"/>
          <w:kern w:val="2"/>
          <w:sz w:val="32"/>
          <w:highlight w:val="yellow"/>
          <w:lang w:eastAsia="zh-TW"/>
        </w:rPr>
      </w:pP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rPr>
          <w:rFonts w:hint="default" w:ascii="Times New Roman" w:hAnsi="Times New Roman" w:eastAsia="仿宋_GB2312" w:cs="Times New Roman"/>
          <w:bCs/>
          <w:caps w:val="0"/>
          <w:color w:val="92D050"/>
          <w:kern w:val="2"/>
          <w:sz w:val="32"/>
          <w:szCs w:val="32"/>
        </w:rPr>
      </w:pP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rPr>
          <w:rFonts w:hint="default" w:ascii="Times New Roman" w:hAnsi="Times New Roman" w:eastAsia="仿宋_GB2312" w:cs="Times New Roman"/>
          <w:bCs/>
          <w:caps w:val="0"/>
          <w:color w:val="92D050"/>
          <w:kern w:val="2"/>
          <w:sz w:val="32"/>
          <w:szCs w:val="32"/>
        </w:rPr>
      </w:pP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rPr>
          <w:rFonts w:hint="default" w:ascii="Times New Roman" w:hAnsi="Times New Roman" w:eastAsia="仿宋_GB2312" w:cs="Times New Roman"/>
          <w:bCs/>
          <w:caps w:val="0"/>
          <w:kern w:val="2"/>
          <w:sz w:val="32"/>
          <w:szCs w:val="32"/>
        </w:rPr>
      </w:pP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rPr>
          <w:rFonts w:hint="default" w:ascii="Times New Roman" w:hAnsi="Times New Roman" w:eastAsia="仿宋_GB2312" w:cs="Times New Roman"/>
          <w:bCs/>
          <w:caps w:val="0"/>
          <w:kern w:val="2"/>
          <w:sz w:val="32"/>
          <w:szCs w:val="32"/>
        </w:rPr>
      </w:pPr>
    </w:p>
    <w:p>
      <w:pPr>
        <w:pStyle w:val="8"/>
        <w:keepNext w:val="0"/>
        <w:keepLines w:val="0"/>
        <w:pageBreakBefore w:val="0"/>
        <w:kinsoku/>
        <w:wordWrap/>
        <w:overflowPunct/>
        <w:topLinePunct w:val="0"/>
        <w:autoSpaceDE/>
        <w:autoSpaceDN/>
        <w:bidi w:val="0"/>
        <w:adjustRightInd w:val="0"/>
        <w:snapToGrid w:val="0"/>
        <w:spacing w:line="578" w:lineRule="exact"/>
        <w:ind w:left="0" w:leftChars="0" w:right="0" w:rightChars="0" w:firstLine="0" w:firstLineChars="0"/>
        <w:rPr>
          <w:rFonts w:hint="default" w:ascii="Times New Roman" w:hAnsi="Times New Roman" w:eastAsia="仿宋_GB2312" w:cs="Times New Roman"/>
          <w:bCs/>
          <w:caps w:val="0"/>
          <w:kern w:val="2"/>
          <w:sz w:val="32"/>
          <w:szCs w:val="32"/>
          <w:lang w:val="en-US" w:eastAsia="zh-CN"/>
        </w:rPr>
      </w:pPr>
    </w:p>
    <w:p>
      <w:bookmarkStart w:id="5" w:name="_GoBack"/>
      <w:bookmarkEnd w:id="5"/>
    </w:p>
    <w:sectPr>
      <w:footerReference r:id="rId3" w:type="default"/>
      <w:pgSz w:w="11906" w:h="16838"/>
      <w:pgMar w:top="1985" w:right="1531" w:bottom="1531"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0" w:usb1="00000000" w:usb2="00000000" w:usb3="00000000" w:csb0="00000000" w:csb1="00000000"/>
  </w:font>
  <w:font w:name="方正黑体_GBK">
    <w:panose1 w:val="03000509000000000000"/>
    <w:charset w:val="86"/>
    <w:family w:val="auto"/>
    <w:pitch w:val="default"/>
    <w:sig w:usb0="00000000" w:usb1="00000000" w:usb2="00000000" w:usb3="00000000" w:csb0="00000000" w:csb1="00000000"/>
  </w:font>
  <w:font w:name="方正楷体_GBK">
    <w:panose1 w:val="03000509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D799C"/>
    <w:rsid w:val="6E2D7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1624"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next w:val="1"/>
    <w:uiPriority w:val="0"/>
    <w:rPr>
      <w:rFonts w:hint="eastAsia"/>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2"/>
    <w:basedOn w:val="1"/>
    <w:qFormat/>
    <w:uiPriority w:val="1624"/>
    <w:pPr>
      <w:spacing w:line="480" w:lineRule="auto"/>
    </w:pPr>
  </w:style>
  <w:style w:type="paragraph" w:customStyle="1" w:styleId="7">
    <w:name w:val="Body text|1"/>
    <w:basedOn w:val="1"/>
    <w:uiPriority w:val="0"/>
    <w:pPr>
      <w:widowControl w:val="0"/>
      <w:shd w:val="clear" w:color="auto" w:fill="auto"/>
      <w:spacing w:line="410"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2023-10-17T12:43:00Z</dcterms:created>
  <dc:creator>Administrator</dc:creator>
  <cp:lastModifiedBy>Administrator</cp:lastModifiedBy>
  <dcterms:modified xsi:type="dcterms:W3CDTF">2023-10-17T12:44:01Z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